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4"/>
      </w:tblGrid>
      <w:tr w:rsidR="007A7902" w14:paraId="29B9F055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1E3A5F"/>
          </w:tcPr>
          <w:p w14:paraId="0B828877" w14:textId="77777777" w:rsidR="007A7902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5D45C212" w14:textId="77777777" w:rsidR="007A7902" w:rsidRDefault="00000000">
      <w:pPr>
        <w:spacing w:before="280" w:after="80"/>
        <w:jc w:val="center"/>
      </w:pPr>
      <w:r>
        <w:rPr>
          <w:i/>
          <w:iCs/>
          <w:color w:val="999999"/>
          <w:sz w:val="20"/>
          <w:szCs w:val="20"/>
        </w:rPr>
        <w:t>[YOUR BUSINESS LOGO]</w:t>
      </w:r>
    </w:p>
    <w:p w14:paraId="58331A88" w14:textId="77777777" w:rsidR="007A7902" w:rsidRDefault="00000000">
      <w:pPr>
        <w:spacing w:after="60"/>
        <w:jc w:val="center"/>
      </w:pPr>
      <w:r>
        <w:rPr>
          <w:b/>
          <w:bCs/>
          <w:color w:val="1E3A5F"/>
          <w:sz w:val="44"/>
          <w:szCs w:val="44"/>
        </w:rPr>
        <w:t>Cash Rounding: What You Need to Know</w:t>
      </w:r>
    </w:p>
    <w:p w14:paraId="3B8DC61F" w14:textId="77777777" w:rsidR="007A7902" w:rsidRDefault="00000000">
      <w:pPr>
        <w:spacing w:after="300"/>
        <w:jc w:val="center"/>
      </w:pPr>
      <w:r>
        <w:rPr>
          <w:color w:val="555555"/>
        </w:rPr>
        <w:t>The U.S. has retired the penny. Here's how it affects your purchase.</w:t>
      </w:r>
    </w:p>
    <w:p w14:paraId="48F6709F" w14:textId="77777777" w:rsidR="007A7902" w:rsidRDefault="00000000">
      <w:pPr>
        <w:spacing w:before="40" w:after="80"/>
      </w:pPr>
      <w:r>
        <w:rPr>
          <w:b/>
          <w:bCs/>
          <w:color w:val="1E3A5F"/>
          <w:sz w:val="24"/>
          <w:szCs w:val="24"/>
        </w:rPr>
        <w:t>Am I paying more because of rounding?</w:t>
      </w:r>
    </w:p>
    <w:p w14:paraId="314B6A0A" w14:textId="77777777" w:rsidR="007A7902" w:rsidRDefault="00000000">
      <w:pPr>
        <w:spacing w:after="200"/>
      </w:pPr>
      <w:r>
        <w:t xml:space="preserve">Not overall. Rounding goes both directions—sometimes your total rounds down (you pay less), sometimes it rounds up (you pay more). Mathematically, four digits round down and four </w:t>
      </w:r>
      <w:proofErr w:type="gramStart"/>
      <w:r>
        <w:t>round</w:t>
      </w:r>
      <w:proofErr w:type="gramEnd"/>
      <w:r>
        <w:t xml:space="preserve"> up, so it evens out over time. The maximum difference on any transaction is just two cents.</w:t>
      </w:r>
    </w:p>
    <w:p w14:paraId="352FD926" w14:textId="77777777" w:rsidR="007A7902" w:rsidRDefault="00000000">
      <w:pPr>
        <w:spacing w:before="40" w:after="80"/>
      </w:pPr>
      <w:r>
        <w:rPr>
          <w:b/>
          <w:bCs/>
          <w:color w:val="1E3A5F"/>
          <w:sz w:val="24"/>
          <w:szCs w:val="24"/>
        </w:rPr>
        <w:t>How does rounding work?</w:t>
      </w:r>
    </w:p>
    <w:p w14:paraId="07AA66A4" w14:textId="77777777" w:rsidR="007A7902" w:rsidRDefault="00000000">
      <w:r>
        <w:t xml:space="preserve">Only your </w:t>
      </w:r>
      <w:r>
        <w:rPr>
          <w:b/>
          <w:bCs/>
        </w:rPr>
        <w:t>final cash total</w:t>
      </w:r>
      <w:r>
        <w:t xml:space="preserve"> is rounded (not individual items). The last digit determines the direction: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1"/>
        <w:gridCol w:w="5111"/>
      </w:tblGrid>
      <w:tr w:rsidR="007A7902" w14:paraId="03DA170C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1" w:space="0" w:color="16A34A"/>
              <w:left w:val="single" w:sz="1" w:space="0" w:color="16A34A"/>
              <w:bottom w:val="single" w:sz="1" w:space="0" w:color="16A34A"/>
              <w:right w:val="single" w:sz="1" w:space="0" w:color="16A34A"/>
            </w:tcBorders>
            <w:shd w:val="clear" w:color="auto" w:fill="16A34A"/>
          </w:tcPr>
          <w:p w14:paraId="2F306145" w14:textId="77777777" w:rsidR="007A7902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Rounds DOWN (You Save)</w:t>
            </w:r>
          </w:p>
        </w:tc>
        <w:tc>
          <w:tcPr>
            <w:tcW w:w="2500" w:type="pct"/>
            <w:tcBorders>
              <w:top w:val="single" w:sz="1" w:space="0" w:color="DC2626"/>
              <w:left w:val="single" w:sz="1" w:space="0" w:color="DC2626"/>
              <w:bottom w:val="single" w:sz="1" w:space="0" w:color="DC2626"/>
              <w:right w:val="single" w:sz="1" w:space="0" w:color="DC2626"/>
            </w:tcBorders>
            <w:shd w:val="clear" w:color="auto" w:fill="DC2626"/>
          </w:tcPr>
          <w:p w14:paraId="6E1056AD" w14:textId="77777777" w:rsidR="007A7902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Rounds UP (You Pay More)</w:t>
            </w:r>
          </w:p>
        </w:tc>
      </w:tr>
      <w:tr w:rsidR="007A7902" w14:paraId="023194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FCE7"/>
          </w:tcPr>
          <w:p w14:paraId="60B2E5EC" w14:textId="77777777" w:rsidR="007A7902" w:rsidRDefault="00000000">
            <w:pPr>
              <w:spacing w:before="80" w:after="80"/>
              <w:jc w:val="center"/>
            </w:pPr>
            <w:r>
              <w:t xml:space="preserve">Ends </w:t>
            </w:r>
            <w:proofErr w:type="gramStart"/>
            <w:r>
              <w:t xml:space="preserve">in  </w:t>
            </w:r>
            <w:r>
              <w:rPr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</w:rPr>
              <w:t>, 2, 6, or 7</w:t>
            </w:r>
          </w:p>
        </w:tc>
        <w:tc>
          <w:tcPr>
            <w:tcW w:w="0" w:type="auto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E2E2"/>
          </w:tcPr>
          <w:p w14:paraId="4A2B8246" w14:textId="77777777" w:rsidR="007A7902" w:rsidRDefault="00000000">
            <w:pPr>
              <w:spacing w:before="80" w:after="80"/>
              <w:jc w:val="center"/>
            </w:pPr>
            <w:r>
              <w:t xml:space="preserve">Ends </w:t>
            </w:r>
            <w:proofErr w:type="gramStart"/>
            <w:r>
              <w:t xml:space="preserve">in  </w:t>
            </w:r>
            <w:r>
              <w:rPr>
                <w:b/>
                <w:bCs/>
                <w:sz w:val="24"/>
                <w:szCs w:val="24"/>
              </w:rPr>
              <w:t>3</w:t>
            </w:r>
            <w:proofErr w:type="gramEnd"/>
            <w:r>
              <w:rPr>
                <w:b/>
                <w:bCs/>
                <w:sz w:val="24"/>
                <w:szCs w:val="24"/>
              </w:rPr>
              <w:t>, 4, 8, or 9</w:t>
            </w:r>
          </w:p>
        </w:tc>
      </w:tr>
      <w:tr w:rsidR="007A7902" w14:paraId="2A387A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FCE7"/>
          </w:tcPr>
          <w:p w14:paraId="43230FCA" w14:textId="77777777" w:rsidR="007A7902" w:rsidRDefault="00000000">
            <w:pPr>
              <w:spacing w:before="60" w:after="60"/>
              <w:jc w:val="center"/>
            </w:pPr>
            <w:r>
              <w:rPr>
                <w:color w:val="444444"/>
                <w:sz w:val="21"/>
                <w:szCs w:val="21"/>
              </w:rPr>
              <w:t>$12.41 → $12.</w:t>
            </w:r>
            <w:proofErr w:type="gramStart"/>
            <w:r>
              <w:rPr>
                <w:color w:val="444444"/>
                <w:sz w:val="21"/>
                <w:szCs w:val="21"/>
              </w:rPr>
              <w:t xml:space="preserve">40  </w:t>
            </w:r>
            <w:r>
              <w:rPr>
                <w:i/>
                <w:iCs/>
                <w:color w:val="16A34A"/>
                <w:sz w:val="19"/>
                <w:szCs w:val="19"/>
              </w:rPr>
              <w:t>(</w:t>
            </w:r>
            <w:proofErr w:type="gramEnd"/>
            <w:r>
              <w:rPr>
                <w:i/>
                <w:iCs/>
                <w:color w:val="16A34A"/>
                <w:sz w:val="19"/>
                <w:szCs w:val="19"/>
              </w:rPr>
              <w:t>save 1¢)</w:t>
            </w:r>
          </w:p>
        </w:tc>
        <w:tc>
          <w:tcPr>
            <w:tcW w:w="0" w:type="auto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EE2E2"/>
          </w:tcPr>
          <w:p w14:paraId="33219406" w14:textId="77777777" w:rsidR="007A7902" w:rsidRDefault="00000000">
            <w:pPr>
              <w:spacing w:before="60" w:after="60"/>
              <w:jc w:val="center"/>
            </w:pPr>
            <w:r>
              <w:rPr>
                <w:color w:val="444444"/>
                <w:sz w:val="21"/>
                <w:szCs w:val="21"/>
              </w:rPr>
              <w:t>$12.43 → $12.</w:t>
            </w:r>
            <w:proofErr w:type="gramStart"/>
            <w:r>
              <w:rPr>
                <w:color w:val="444444"/>
                <w:sz w:val="21"/>
                <w:szCs w:val="21"/>
              </w:rPr>
              <w:t xml:space="preserve">45  </w:t>
            </w:r>
            <w:r>
              <w:rPr>
                <w:i/>
                <w:iCs/>
                <w:color w:val="DC2626"/>
                <w:sz w:val="19"/>
                <w:szCs w:val="19"/>
              </w:rPr>
              <w:t>(</w:t>
            </w:r>
            <w:proofErr w:type="gramEnd"/>
            <w:r>
              <w:rPr>
                <w:i/>
                <w:iCs/>
                <w:color w:val="DC2626"/>
                <w:sz w:val="19"/>
                <w:szCs w:val="19"/>
              </w:rPr>
              <w:t>pay 2¢ more)</w:t>
            </w:r>
          </w:p>
        </w:tc>
      </w:tr>
    </w:tbl>
    <w:p w14:paraId="53B7D64D" w14:textId="77777777" w:rsidR="007A7902" w:rsidRDefault="00000000">
      <w:pPr>
        <w:spacing w:before="100" w:after="280"/>
        <w:jc w:val="center"/>
      </w:pPr>
      <w:r>
        <w:rPr>
          <w:i/>
          <w:iCs/>
          <w:color w:val="666666"/>
          <w:sz w:val="20"/>
          <w:szCs w:val="20"/>
        </w:rPr>
        <w:t>Totals ending in 0 or 5 are already even — no rounding needed.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2"/>
      </w:tblGrid>
      <w:tr w:rsidR="007A7902" w14:paraId="7308BBCF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8" w:space="0" w:color="3B82F6"/>
              <w:left w:val="single" w:sz="1" w:space="0" w:color="BFDBFE"/>
              <w:bottom w:val="single" w:sz="1" w:space="0" w:color="BFDBFE"/>
              <w:right w:val="single" w:sz="1" w:space="0" w:color="BFDBFE"/>
            </w:tcBorders>
            <w:shd w:val="clear" w:color="auto" w:fill="EFF6FF"/>
          </w:tcPr>
          <w:p w14:paraId="4EA52003" w14:textId="77777777" w:rsidR="007A7902" w:rsidRDefault="00000000">
            <w:pPr>
              <w:spacing w:before="120" w:after="40"/>
            </w:pPr>
            <w:proofErr w:type="gramStart"/>
            <w:r>
              <w:rPr>
                <w:b/>
                <w:bCs/>
                <w:color w:val="1E40AF"/>
              </w:rPr>
              <w:t>💡  GOOD</w:t>
            </w:r>
            <w:proofErr w:type="gramEnd"/>
            <w:r>
              <w:rPr>
                <w:b/>
                <w:bCs/>
                <w:color w:val="1E40AF"/>
              </w:rPr>
              <w:t xml:space="preserve"> TO KNOW:  </w:t>
            </w:r>
            <w:r>
              <w:rPr>
                <w:color w:val="1E3A8A"/>
              </w:rPr>
              <w:t xml:space="preserve">Card, Apple Pay, and other digital payments are </w:t>
            </w:r>
            <w:r>
              <w:rPr>
                <w:b/>
                <w:bCs/>
                <w:color w:val="1E3A8A"/>
              </w:rPr>
              <w:t>never rounded</w:t>
            </w:r>
            <w:r>
              <w:rPr>
                <w:color w:val="1E3A8A"/>
              </w:rPr>
              <w:t>.</w:t>
            </w:r>
          </w:p>
          <w:p w14:paraId="2FC9FD57" w14:textId="77777777" w:rsidR="007A7902" w:rsidRDefault="00000000">
            <w:r>
              <w:rPr>
                <w:color w:val="1E3A8A"/>
                <w:sz w:val="21"/>
                <w:szCs w:val="21"/>
              </w:rPr>
              <w:t xml:space="preserve">       You'll always pay the exact amount when you don't use cash.</w:t>
            </w:r>
          </w:p>
        </w:tc>
      </w:tr>
    </w:tbl>
    <w:p w14:paraId="3119DFCC" w14:textId="77777777" w:rsidR="007A7902" w:rsidRDefault="00000000">
      <w:pPr>
        <w:spacing w:before="280" w:after="80"/>
      </w:pPr>
      <w:r>
        <w:rPr>
          <w:b/>
          <w:bCs/>
          <w:color w:val="1E3A5F"/>
          <w:sz w:val="24"/>
          <w:szCs w:val="24"/>
        </w:rPr>
        <w:t>Why does my receipt show a different amount than what I paid?</w:t>
      </w:r>
    </w:p>
    <w:p w14:paraId="48AB68A7" w14:textId="77777777" w:rsidR="007A7902" w:rsidRDefault="00000000">
      <w:pPr>
        <w:spacing w:after="200"/>
      </w:pPr>
      <w:r>
        <w:t>Your receipt shows the exact pre-rounded total for your records. The amount you pay in cash is the rounded total. Some receipts show both amounts with a "cash rounding adjustment" line—this is normal and helps with transparency.</w:t>
      </w:r>
    </w:p>
    <w:p w14:paraId="72DABCCF" w14:textId="77777777" w:rsidR="007A7902" w:rsidRDefault="00000000">
      <w:pPr>
        <w:spacing w:before="40" w:after="80"/>
      </w:pPr>
      <w:r>
        <w:rPr>
          <w:b/>
          <w:bCs/>
          <w:color w:val="1E3A5F"/>
          <w:sz w:val="24"/>
          <w:szCs w:val="24"/>
        </w:rPr>
        <w:t>Is this an official policy? Where can I learn more?</w:t>
      </w:r>
    </w:p>
    <w:p w14:paraId="4C8A51DA" w14:textId="77777777" w:rsidR="007A7902" w:rsidRDefault="00000000">
      <w:pPr>
        <w:spacing w:after="200"/>
      </w:pPr>
      <w:r>
        <w:t xml:space="preserve">Yes. The </w:t>
      </w:r>
      <w:r>
        <w:rPr>
          <w:b/>
          <w:bCs/>
        </w:rPr>
        <w:t>Common Cents Act</w:t>
      </w:r>
      <w:r>
        <w:t xml:space="preserve"> is proposed federal legislation to retire the penny and establish nationwide rounding rules. Until federal guidelines are enacted, rounding policies may vary by state. For the latest information, visit </w:t>
      </w:r>
      <w:r>
        <w:rPr>
          <w:b/>
          <w:bCs/>
          <w:color w:val="2563EB"/>
        </w:rPr>
        <w:t>CommonCentsAct.com</w:t>
      </w:r>
      <w:r>
        <w:t>.</w:t>
      </w:r>
    </w:p>
    <w:p w14:paraId="7172ED63" w14:textId="77777777" w:rsidR="007A7902" w:rsidRDefault="00000000">
      <w:pPr>
        <w:spacing w:before="40" w:after="80"/>
      </w:pPr>
      <w:r>
        <w:rPr>
          <w:b/>
          <w:bCs/>
          <w:color w:val="1E3A5F"/>
          <w:sz w:val="24"/>
          <w:szCs w:val="24"/>
        </w:rPr>
        <w:t>What should I do with my pennies?</w:t>
      </w:r>
    </w:p>
    <w:p w14:paraId="6109DCF5" w14:textId="77777777" w:rsidR="007A7902" w:rsidRDefault="00000000">
      <w:pPr>
        <w:spacing w:after="60"/>
      </w:pPr>
      <w:r>
        <w:t>Pennies remain legal U.S. currency—they're not worthless! Here are your options:</w:t>
      </w:r>
    </w:p>
    <w:p w14:paraId="526E95B8" w14:textId="77777777" w:rsidR="007A7902" w:rsidRDefault="00000000">
      <w:pPr>
        <w:spacing w:after="40"/>
        <w:ind w:left="360"/>
      </w:pPr>
      <w:r>
        <w:t xml:space="preserve">•  </w:t>
      </w:r>
      <w:r>
        <w:rPr>
          <w:b/>
          <w:bCs/>
        </w:rPr>
        <w:t>Deposit them</w:t>
      </w:r>
      <w:r>
        <w:t xml:space="preserve"> at your bank (most accept rolled coins)</w:t>
      </w:r>
    </w:p>
    <w:p w14:paraId="77729134" w14:textId="77777777" w:rsidR="007A7902" w:rsidRDefault="00000000">
      <w:pPr>
        <w:spacing w:after="40"/>
        <w:ind w:left="360"/>
      </w:pPr>
      <w:r>
        <w:t xml:space="preserve">•  </w:t>
      </w:r>
      <w:r>
        <w:rPr>
          <w:b/>
          <w:bCs/>
        </w:rPr>
        <w:t>Donate them</w:t>
      </w:r>
      <w:r>
        <w:t xml:space="preserve"> — many charities and schools are running penny drives</w:t>
      </w:r>
    </w:p>
    <w:p w14:paraId="01395E2C" w14:textId="77777777" w:rsidR="007A7902" w:rsidRDefault="00000000">
      <w:pPr>
        <w:spacing w:after="40"/>
        <w:ind w:left="360"/>
      </w:pPr>
      <w:r>
        <w:t xml:space="preserve">•  </w:t>
      </w:r>
      <w:r>
        <w:rPr>
          <w:b/>
          <w:bCs/>
        </w:rPr>
        <w:t>Use coin machines</w:t>
      </w:r>
      <w:r>
        <w:t xml:space="preserve"> at grocery stores (small fee may apply)</w:t>
      </w:r>
    </w:p>
    <w:p w14:paraId="10DE6F37" w14:textId="77777777" w:rsidR="007A7902" w:rsidRDefault="00000000">
      <w:pPr>
        <w:spacing w:after="140"/>
        <w:ind w:left="360"/>
      </w:pPr>
      <w:r>
        <w:t xml:space="preserve">•  </w:t>
      </w:r>
      <w:r>
        <w:rPr>
          <w:b/>
          <w:bCs/>
        </w:rPr>
        <w:t>Keep special ones</w:t>
      </w:r>
      <w:r>
        <w:t xml:space="preserve"> — wheat pennies and older coins may have collector value</w:t>
      </w:r>
    </w:p>
    <w:p w14:paraId="405D516C" w14:textId="77777777" w:rsidR="007A7902" w:rsidRDefault="007A7902">
      <w:pPr>
        <w:spacing w:before="1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4"/>
      </w:tblGrid>
      <w:tr w:rsidR="007A7902" w14:paraId="1E33790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5E7EB"/>
          </w:tcPr>
          <w:p w14:paraId="5709634E" w14:textId="77777777" w:rsidR="007A7902" w:rsidRDefault="00000000">
            <w:r>
              <w:rPr>
                <w:sz w:val="4"/>
                <w:szCs w:val="4"/>
              </w:rPr>
              <w:t xml:space="preserve"> </w:t>
            </w:r>
          </w:p>
        </w:tc>
      </w:tr>
    </w:tbl>
    <w:p w14:paraId="37B61B1E" w14:textId="77777777" w:rsidR="007A7902" w:rsidRDefault="00000000">
      <w:pPr>
        <w:spacing w:before="180" w:after="60"/>
        <w:jc w:val="center"/>
      </w:pPr>
      <w:r>
        <w:rPr>
          <w:b/>
          <w:bCs/>
          <w:color w:val="1E3A5F"/>
        </w:rPr>
        <w:t>[YOUR BUSINESS NAME]</w:t>
      </w:r>
    </w:p>
    <w:p w14:paraId="603B1C1F" w14:textId="77777777" w:rsidR="007A7902" w:rsidRDefault="00000000">
      <w:pPr>
        <w:spacing w:after="40"/>
        <w:jc w:val="center"/>
      </w:pPr>
      <w:r>
        <w:rPr>
          <w:color w:val="555555"/>
          <w:sz w:val="20"/>
          <w:szCs w:val="20"/>
        </w:rPr>
        <w:t>Questions? Just ask! We're happy to help.</w:t>
      </w:r>
    </w:p>
    <w:p w14:paraId="56B2C360" w14:textId="77777777" w:rsidR="007A7902" w:rsidRDefault="00000000">
      <w:pPr>
        <w:jc w:val="center"/>
      </w:pPr>
      <w:r>
        <w:rPr>
          <w:i/>
          <w:iCs/>
          <w:color w:val="888888"/>
          <w:sz w:val="18"/>
          <w:szCs w:val="18"/>
        </w:rPr>
        <w:t>[Your address or website here]</w:t>
      </w:r>
    </w:p>
    <w:sectPr w:rsidR="007A7902" w:rsidSect="00BA0828">
      <w:pgSz w:w="12240" w:h="15840"/>
      <w:pgMar w:top="1008" w:right="1008" w:bottom="720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2FF"/>
    <w:multiLevelType w:val="hybridMultilevel"/>
    <w:tmpl w:val="E66A064A"/>
    <w:lvl w:ilvl="0" w:tplc="C8C6CB20">
      <w:start w:val="1"/>
      <w:numFmt w:val="bullet"/>
      <w:lvlText w:val="●"/>
      <w:lvlJc w:val="left"/>
      <w:pPr>
        <w:ind w:left="720" w:hanging="360"/>
      </w:pPr>
    </w:lvl>
    <w:lvl w:ilvl="1" w:tplc="19F42E68">
      <w:start w:val="1"/>
      <w:numFmt w:val="bullet"/>
      <w:lvlText w:val="○"/>
      <w:lvlJc w:val="left"/>
      <w:pPr>
        <w:ind w:left="1440" w:hanging="360"/>
      </w:pPr>
    </w:lvl>
    <w:lvl w:ilvl="2" w:tplc="97CE1EFC">
      <w:start w:val="1"/>
      <w:numFmt w:val="bullet"/>
      <w:lvlText w:val="■"/>
      <w:lvlJc w:val="left"/>
      <w:pPr>
        <w:ind w:left="2160" w:hanging="360"/>
      </w:pPr>
    </w:lvl>
    <w:lvl w:ilvl="3" w:tplc="F5A2D80C">
      <w:start w:val="1"/>
      <w:numFmt w:val="bullet"/>
      <w:lvlText w:val="●"/>
      <w:lvlJc w:val="left"/>
      <w:pPr>
        <w:ind w:left="2880" w:hanging="360"/>
      </w:pPr>
    </w:lvl>
    <w:lvl w:ilvl="4" w:tplc="DB2477AE">
      <w:start w:val="1"/>
      <w:numFmt w:val="bullet"/>
      <w:lvlText w:val="○"/>
      <w:lvlJc w:val="left"/>
      <w:pPr>
        <w:ind w:left="3600" w:hanging="360"/>
      </w:pPr>
    </w:lvl>
    <w:lvl w:ilvl="5" w:tplc="CB7A8198">
      <w:start w:val="1"/>
      <w:numFmt w:val="bullet"/>
      <w:lvlText w:val="■"/>
      <w:lvlJc w:val="left"/>
      <w:pPr>
        <w:ind w:left="4320" w:hanging="360"/>
      </w:pPr>
    </w:lvl>
    <w:lvl w:ilvl="6" w:tplc="394A1A40">
      <w:start w:val="1"/>
      <w:numFmt w:val="bullet"/>
      <w:lvlText w:val="●"/>
      <w:lvlJc w:val="left"/>
      <w:pPr>
        <w:ind w:left="5040" w:hanging="360"/>
      </w:pPr>
    </w:lvl>
    <w:lvl w:ilvl="7" w:tplc="81EEFAD4">
      <w:start w:val="1"/>
      <w:numFmt w:val="bullet"/>
      <w:lvlText w:val="●"/>
      <w:lvlJc w:val="left"/>
      <w:pPr>
        <w:ind w:left="5760" w:hanging="360"/>
      </w:pPr>
    </w:lvl>
    <w:lvl w:ilvl="8" w:tplc="1DDCFD4E">
      <w:start w:val="1"/>
      <w:numFmt w:val="bullet"/>
      <w:lvlText w:val="●"/>
      <w:lvlJc w:val="left"/>
      <w:pPr>
        <w:ind w:left="6480" w:hanging="360"/>
      </w:pPr>
    </w:lvl>
  </w:abstractNum>
  <w:num w:numId="1" w16cid:durableId="19424873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02"/>
    <w:rsid w:val="007A7902"/>
    <w:rsid w:val="00BA0828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087B"/>
  <w15:docId w15:val="{90934B47-CA40-5745-AFD1-8103FCB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1666</Characters>
  <Application>Microsoft Office Word</Application>
  <DocSecurity>0</DocSecurity>
  <Lines>38</Lines>
  <Paragraphs>35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FAQ Handout - Cash Rounding</dc:title>
  <dc:creator>CommonCentsAct.com</dc:creator>
  <dc:description>Printable FAQ handout explaining cash rounding to customers</dc:description>
  <cp:lastModifiedBy/>
  <cp:revision/>
  <dcterms:created xsi:type="dcterms:W3CDTF">2026-01-08T19:41:00Z</dcterms:created>
  <dcterms:modified xsi:type="dcterms:W3CDTF">2026-01-18T02:36:00Z</dcterms:modified>
</cp:coreProperties>
</file>